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eastAsia="Lucida Sans" w:hAnsi="Lucida Sans" w:cs="Lucida Sans"/>
          <w:sz w:val="24"/>
          <w:szCs w:val="24"/>
          <w:lang w:bidi="es-ES"/>
        </w:rPr>
        <w:t xml:space="preserve">Herramientas inteligentes de BOGE </w:t>
      </w:r>
      <w:proofErr w:type="spellStart"/>
      <w:r>
        <w:rPr>
          <w:rFonts w:ascii="Lucida Sans" w:eastAsia="Lucida Sans" w:hAnsi="Lucida Sans" w:cs="Lucida Sans"/>
          <w:sz w:val="24"/>
          <w:szCs w:val="24"/>
          <w:lang w:bidi="es-ES"/>
        </w:rPr>
        <w:t>Kompressoren</w:t>
      </w:r>
      <w:proofErr w:type="spellEnd"/>
    </w:p>
    <w:p w14:paraId="4EF99EC3" w14:textId="4C37EB80" w:rsidR="00C470E6" w:rsidRPr="00DF5804" w:rsidRDefault="00C8363A" w:rsidP="008A7132">
      <w:pPr>
        <w:rPr>
          <w:rFonts w:ascii="Lucida Sans" w:hAnsi="Lucida Sans"/>
          <w:b/>
          <w:bCs/>
          <w:sz w:val="44"/>
          <w:szCs w:val="44"/>
        </w:rPr>
      </w:pPr>
      <w:r>
        <w:rPr>
          <w:rFonts w:ascii="Lucida Sans" w:eastAsia="Lucida Sans" w:hAnsi="Lucida Sans" w:cs="Lucida Sans"/>
          <w:b/>
          <w:sz w:val="44"/>
          <w:szCs w:val="44"/>
          <w:lang w:bidi="es-ES"/>
        </w:rPr>
        <w:t>Reducir los costes energéticos en un 50 % gracias a la gestión eficiente del aire comprimido</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eastAsia="Arial" w:hAnsi="Arial" w:cs="Arial"/>
          <w:b/>
          <w:lang w:bidi="es-ES"/>
        </w:rPr>
        <w:t>Los costes energéticos representan alrededor del 86 % de los costes operativos de una empresa. Y, en este contexto, el aire comprimido es una forma de energía muy cara, pero absolutamente indispensable. Así pues, teniendo en cuenta el aumento experimentado por los precios de la energía y la creciente presión política para reducir las emisiones de CO</w:t>
      </w:r>
      <w:r w:rsidRPr="003F141C">
        <w:rPr>
          <w:rFonts w:ascii="Arial" w:eastAsia="Arial" w:hAnsi="Arial" w:cs="Arial"/>
          <w:b/>
          <w:vertAlign w:val="subscript"/>
          <w:lang w:bidi="es-ES"/>
        </w:rPr>
        <w:t>2</w:t>
      </w:r>
      <w:r w:rsidRPr="003F141C">
        <w:rPr>
          <w:rFonts w:ascii="Arial" w:eastAsia="Arial" w:hAnsi="Arial" w:cs="Arial"/>
          <w:b/>
          <w:lang w:bidi="es-ES"/>
        </w:rPr>
        <w:t>, las empresas se ven obligadas prestar atención a estos «devoradores de energía». No obstante, gracias a las eficientes soluciones del fabricante de compresores BOGE, ahora es posible ahorrar la mitad de estos costes energéticos.</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eastAsia="Arial" w:hAnsi="Arial" w:cs="Arial"/>
          <w:lang w:bidi="es-ES"/>
        </w:rPr>
        <w:t>Uno de los objetivos más importantes en este contexto es ajustarse al presupuesto y proteger el medio ambiente mediante la generación sostenible de aire comprimido. Así, si las empresas industriales realizan los ajustes pertinentes, no solo se verán recompensadas con un aumento de su potencial de ahorro, sino que también aumentarán la eficiencia de sus procesos. Por ejemplo, pueden reducir a la mitad la energía necesaria para generar aire comprimido y, de este modo, preservar los recursos disponibles y disminuir al mismo tiempo los costes operativos. En este punto, las herramientas inteligentes de BOGE permiten a las empresas identificar y sacar el máximo partido a este potencial.</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eastAsia="Arial" w:hAnsi="Arial" w:cs="Arial"/>
          <w:lang w:bidi="es-ES"/>
        </w:rPr>
        <w:t xml:space="preserve">Las operaciones periódicas de mantenimiento son imprescindibles para garantizar un uso eficiente del aire comprimido. Porque, por ejemplo, si las juntas o las mangueras están desgastadas, las consecuencias económicas pueden ser enormes. No hay que olvidar que las fugas son una de las causas </w:t>
      </w:r>
      <w:proofErr w:type="gramStart"/>
      <w:r>
        <w:rPr>
          <w:rFonts w:ascii="Arial" w:eastAsia="Arial" w:hAnsi="Arial" w:cs="Arial"/>
          <w:lang w:bidi="es-ES"/>
        </w:rPr>
        <w:t>más frecuentes y más importantes</w:t>
      </w:r>
      <w:proofErr w:type="gramEnd"/>
      <w:r>
        <w:rPr>
          <w:rFonts w:ascii="Arial" w:eastAsia="Arial" w:hAnsi="Arial" w:cs="Arial"/>
          <w:lang w:bidi="es-ES"/>
        </w:rPr>
        <w:t xml:space="preserve"> de pérdida de energía en los sistemas de aire comprimido. Y, si no se realiza un mantenimiento a su debido tiempo, a menudo pasan desapercibidas, lo que puede hacer que se desperdicie hasta el 50 % de la energía de una planta. Para evitar que esto ocurra, BOGE ha incorporado un monitor de fugas en el sistema de control de sus compresores. «El monitor registra las fugas durante los periodos de inactividad, lo que permite identificar las pérdidas de forma precisa para corregirlas con la mayor celeridad posible. En consecuencia, se ahorran costes considerables con un esfuerzo mínimo», explica Frank </w:t>
      </w:r>
      <w:proofErr w:type="spellStart"/>
      <w:r>
        <w:rPr>
          <w:rFonts w:ascii="Arial" w:eastAsia="Arial" w:hAnsi="Arial" w:cs="Arial"/>
          <w:lang w:bidi="es-ES"/>
        </w:rPr>
        <w:t>Hilbrink</w:t>
      </w:r>
      <w:proofErr w:type="spellEnd"/>
      <w:r>
        <w:rPr>
          <w:rFonts w:ascii="Arial" w:eastAsia="Arial" w:hAnsi="Arial" w:cs="Arial"/>
          <w:lang w:bidi="es-ES"/>
        </w:rPr>
        <w:t>, jefe de producto de BOGE.</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eastAsia="Arial" w:hAnsi="Arial" w:cs="Arial"/>
          <w:lang w:bidi="es-ES"/>
        </w:rPr>
        <w:lastRenderedPageBreak/>
        <w:t>La recuperación de calor es otro ámbito importante en el que las empresas pueden reducir sus costes energéticos y, en consecuencia, garantizar unas operaciones más sostenibles. De hecho, hasta el 94 % de la energía utilizada para generar aire comprimido puede reutilizarse en forma de calor. Para conseguirlo, BOGE elimina el calor residual del proceso de compresión de forma específica para cada compresor que, a continuación, se utiliza para calentar habitaciones o producir agua caliente, por ejemplo. Además, este sistema de recuperación de BOGE también puede incorporarse en compresores de otros fabricantes. El periodo medio de amortización es de solo cuatro meses.</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eastAsia="Lucida Sans" w:hAnsi="Lucida Sans" w:cs="Arial"/>
          <w:b/>
          <w:sz w:val="32"/>
          <w:szCs w:val="32"/>
          <w:lang w:bidi="es-ES"/>
        </w:rPr>
        <w:t>El sistema de control inteligente optimiza el uso del compresor</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eastAsia="Arial" w:hAnsi="Arial" w:cs="Arial"/>
          <w:lang w:bidi="es-ES"/>
        </w:rPr>
        <w:t xml:space="preserve">Un sistema de control supervisor de sala como el BOGE </w:t>
      </w:r>
      <w:proofErr w:type="spellStart"/>
      <w:r>
        <w:rPr>
          <w:rFonts w:ascii="Arial" w:eastAsia="Arial" w:hAnsi="Arial" w:cs="Arial"/>
          <w:lang w:bidi="es-ES"/>
        </w:rPr>
        <w:t>airtelligence</w:t>
      </w:r>
      <w:proofErr w:type="spellEnd"/>
      <w:r>
        <w:rPr>
          <w:rFonts w:ascii="Arial" w:eastAsia="Arial" w:hAnsi="Arial" w:cs="Arial"/>
          <w:lang w:bidi="es-ES"/>
        </w:rPr>
        <w:t xml:space="preserve"> </w:t>
      </w:r>
      <w:proofErr w:type="spellStart"/>
      <w:r>
        <w:rPr>
          <w:rFonts w:ascii="Arial" w:eastAsia="Arial" w:hAnsi="Arial" w:cs="Arial"/>
          <w:lang w:bidi="es-ES"/>
        </w:rPr>
        <w:t>provis</w:t>
      </w:r>
      <w:proofErr w:type="spellEnd"/>
      <w:r>
        <w:rPr>
          <w:rFonts w:ascii="Arial" w:eastAsia="Arial" w:hAnsi="Arial" w:cs="Arial"/>
          <w:lang w:bidi="es-ES"/>
        </w:rPr>
        <w:t xml:space="preserve"> 3 garantiza la eficiencia y la flexibilidad en todo el proceso de gestión del aire comprimido. Asimismo, esta solución de control inteligente también asegura un aprovechamiento óptimo de los sistemas de aire comprimido. El software integra un número ilimitado de componentes y determina la combinación ideal de compresores para el tiempo de funcionamiento específico que se necesita en cada ocasión o circunstancia. Así pues, esta herramienta inteligente resulta especialmente adecuada en los casos en los que las necesidades de aire comprimido fluctúan bastante, así como en los sistemas con redes de compresores mixtas. El </w:t>
      </w:r>
      <w:proofErr w:type="spellStart"/>
      <w:r>
        <w:rPr>
          <w:rFonts w:ascii="Arial" w:eastAsia="Arial" w:hAnsi="Arial" w:cs="Arial"/>
          <w:lang w:bidi="es-ES"/>
        </w:rPr>
        <w:t>airtelligence</w:t>
      </w:r>
      <w:proofErr w:type="spellEnd"/>
      <w:r>
        <w:rPr>
          <w:rFonts w:ascii="Arial" w:eastAsia="Arial" w:hAnsi="Arial" w:cs="Arial"/>
          <w:lang w:bidi="es-ES"/>
        </w:rPr>
        <w:t xml:space="preserve"> </w:t>
      </w:r>
      <w:proofErr w:type="spellStart"/>
      <w:r>
        <w:rPr>
          <w:rFonts w:ascii="Arial" w:eastAsia="Arial" w:hAnsi="Arial" w:cs="Arial"/>
          <w:lang w:bidi="es-ES"/>
        </w:rPr>
        <w:t>provis</w:t>
      </w:r>
      <w:proofErr w:type="spellEnd"/>
      <w:r>
        <w:rPr>
          <w:rFonts w:ascii="Arial" w:eastAsia="Arial" w:hAnsi="Arial" w:cs="Arial"/>
          <w:lang w:bidi="es-ES"/>
        </w:rPr>
        <w:t xml:space="preserve"> 3 también optimiza el consumo de energía de forma continua, pues una reducción de tan solo 1 bar supone hasta un 10 % en los costes energéticos.</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eastAsia="Arial" w:hAnsi="Arial" w:cs="Arial"/>
          <w:lang w:bidi="es-ES"/>
        </w:rPr>
        <w:t>Por otro lado, el sistema de control supervisor de sala también permite realizar auditorías energéticas. Desde 2015, el Gobierno alemán exige a las empresas que realicen auditorías energéticas periódicas o introduzcan un sistema de gestión energética conforme a la norma ISO 50001. Las soluciones de software inteligentes que ofrece BOGE garantizan la integración de las fuentes de datos pertinentes sin registrar los datos de consumo reales. A su vez, el análisis de estos datos ayuda a identificar posibles ahorros y a cumplir los requisitos del proceso de certificación. Y, al final, si una empresa recibe la certificación adecuada, también puede lograr desgravaciones fiscales. Con estas medidas, BOGE no solo ayuda a sus socios a reducir sus costes operativos, sino que también aumenta la sostenibilidad y contribuye de forma activa a la protección del medio ambiente.</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eastAsia="Arial" w:hAnsi="Arial" w:cs="Arial"/>
          <w:lang w:bidi="es-ES"/>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es-ES"/>
        </w:rPr>
        <w:lastRenderedPageBreak/>
        <w:t>Versión:</w:t>
      </w:r>
      <w:r w:rsidRPr="00480056">
        <w:rPr>
          <w:rFonts w:ascii="Arial" w:eastAsia="Arial" w:hAnsi="Arial" w:cs="Arial"/>
          <w:b/>
          <w:color w:val="auto"/>
          <w:sz w:val="22"/>
          <w:szCs w:val="22"/>
          <w:lang w:bidi="es-ES"/>
        </w:rPr>
        <w:tab/>
      </w:r>
      <w:r w:rsidRPr="00480056">
        <w:rPr>
          <w:rFonts w:ascii="Arial" w:eastAsia="Arial" w:hAnsi="Arial" w:cs="Arial"/>
          <w:b/>
          <w:color w:val="auto"/>
          <w:sz w:val="22"/>
          <w:szCs w:val="22"/>
          <w:lang w:bidi="es-ES"/>
        </w:rPr>
        <w:tab/>
        <w:t>14 de noviembre de 2024</w:t>
      </w:r>
    </w:p>
    <w:p w14:paraId="5ACC7156" w14:textId="1FFFBD63"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es-ES"/>
        </w:rPr>
        <w:t>Longitud:</w:t>
      </w:r>
      <w:r w:rsidRPr="00480056">
        <w:rPr>
          <w:rFonts w:ascii="Arial" w:eastAsia="Arial" w:hAnsi="Arial" w:cs="Arial"/>
          <w:b/>
          <w:color w:val="auto"/>
          <w:sz w:val="22"/>
          <w:szCs w:val="22"/>
          <w:lang w:bidi="es-ES"/>
        </w:rPr>
        <w:tab/>
        <w:t xml:space="preserve">3902 caracteres, inclusive los espacios </w:t>
      </w:r>
    </w:p>
    <w:p w14:paraId="7024D04C" w14:textId="47083E27" w:rsidR="00AC2C5F" w:rsidRPr="00480056" w:rsidRDefault="00AC2C5F" w:rsidP="00AC2C5F">
      <w:pPr>
        <w:pStyle w:val="Heading3"/>
        <w:tabs>
          <w:tab w:val="left" w:pos="1134"/>
          <w:tab w:val="left" w:pos="1418"/>
        </w:tabs>
        <w:rPr>
          <w:rFonts w:ascii="Arial" w:hAnsi="Arial" w:cs="Arial"/>
          <w:b/>
          <w:bCs/>
          <w:color w:val="auto"/>
          <w:sz w:val="22"/>
          <w:szCs w:val="22"/>
        </w:rPr>
      </w:pPr>
      <w:r w:rsidRPr="00480056">
        <w:rPr>
          <w:rFonts w:ascii="Arial" w:eastAsia="Arial" w:hAnsi="Arial" w:cs="Arial"/>
          <w:b/>
          <w:color w:val="auto"/>
          <w:sz w:val="22"/>
          <w:szCs w:val="22"/>
          <w:lang w:bidi="es-ES"/>
        </w:rPr>
        <w:t>Imágenes:</w:t>
      </w:r>
      <w:r w:rsidRPr="00480056">
        <w:rPr>
          <w:rFonts w:ascii="Arial" w:eastAsia="Arial" w:hAnsi="Arial" w:cs="Arial"/>
          <w:b/>
          <w:color w:val="auto"/>
          <w:sz w:val="22"/>
          <w:szCs w:val="22"/>
          <w:lang w:bidi="es-ES"/>
        </w:rPr>
        <w:tab/>
        <w:t xml:space="preserve"> </w:t>
      </w:r>
      <w:r w:rsidRPr="00480056">
        <w:rPr>
          <w:rFonts w:ascii="Arial" w:eastAsia="Arial" w:hAnsi="Arial" w:cs="Arial"/>
          <w:b/>
          <w:color w:val="auto"/>
          <w:sz w:val="22"/>
          <w:szCs w:val="22"/>
          <w:lang w:bidi="es-ES"/>
        </w:rPr>
        <w:tab/>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Heading3"/>
        <w:tabs>
          <w:tab w:val="left" w:pos="1134"/>
          <w:tab w:val="left" w:pos="1418"/>
        </w:tabs>
        <w:spacing w:line="360" w:lineRule="auto"/>
        <w:rPr>
          <w:rFonts w:ascii="Lucida Sans" w:hAnsi="Lucida Sans" w:cs="Arial"/>
          <w:b/>
          <w:bCs/>
          <w:color w:val="auto"/>
        </w:rPr>
      </w:pPr>
      <w:r w:rsidRPr="00480056">
        <w:rPr>
          <w:rFonts w:ascii="Lucida Sans" w:eastAsia="Lucida Sans" w:hAnsi="Lucida Sans" w:cs="Arial"/>
          <w:b/>
          <w:color w:val="auto"/>
          <w:lang w:bidi="es-ES"/>
        </w:rPr>
        <w:t>Pies de las imágenes:</w:t>
      </w:r>
    </w:p>
    <w:p w14:paraId="7C058B1A" w14:textId="12967866" w:rsidR="008745E1" w:rsidRDefault="008745E1" w:rsidP="00913759">
      <w:pPr>
        <w:pBdr>
          <w:bottom w:val="single" w:sz="6" w:space="1" w:color="auto"/>
        </w:pBdr>
        <w:rPr>
          <w:rFonts w:ascii="Arial" w:hAnsi="Arial" w:cs="Arial"/>
        </w:rPr>
      </w:pPr>
      <w:r w:rsidRPr="00BB7641">
        <w:rPr>
          <w:rFonts w:ascii="Arial" w:eastAsia="Arial" w:hAnsi="Arial" w:cs="Arial"/>
          <w:b/>
          <w:lang w:bidi="es-ES"/>
        </w:rPr>
        <w:t xml:space="preserve">Imagen 1: </w:t>
      </w:r>
      <w:r w:rsidRPr="00BB7641">
        <w:rPr>
          <w:rFonts w:ascii="Arial" w:eastAsia="Arial" w:hAnsi="Arial" w:cs="Arial"/>
          <w:lang w:bidi="es-ES"/>
        </w:rPr>
        <w:t>Con estas amplias medidas, BOGE no solo ayuda a sus socios a reducir sus costes operativos, sino que aumenta la sostenibilidad y a contribuye de forma activa a la protección del medio ambiente.</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eastAsia="Arial" w:hAnsi="Arial" w:cs="Arial"/>
          <w:b/>
          <w:lang w:bidi="es-ES"/>
        </w:rPr>
        <w:t xml:space="preserve">Imagen 2: </w:t>
      </w:r>
      <w:r w:rsidRPr="00BB7641">
        <w:rPr>
          <w:rFonts w:ascii="Arial" w:eastAsia="Arial" w:hAnsi="Arial" w:cs="Arial"/>
          <w:lang w:bidi="es-ES"/>
        </w:rPr>
        <w:t xml:space="preserve">El </w:t>
      </w:r>
      <w:proofErr w:type="spellStart"/>
      <w:r w:rsidRPr="00BB7641">
        <w:rPr>
          <w:rFonts w:ascii="Arial" w:eastAsia="Arial" w:hAnsi="Arial" w:cs="Arial"/>
          <w:lang w:bidi="es-ES"/>
        </w:rPr>
        <w:t>airtelligence</w:t>
      </w:r>
      <w:proofErr w:type="spellEnd"/>
      <w:r w:rsidRPr="00BB7641">
        <w:rPr>
          <w:rFonts w:ascii="Arial" w:eastAsia="Arial" w:hAnsi="Arial" w:cs="Arial"/>
          <w:lang w:bidi="es-ES"/>
        </w:rPr>
        <w:t xml:space="preserve"> </w:t>
      </w:r>
      <w:proofErr w:type="spellStart"/>
      <w:r w:rsidRPr="00BB7641">
        <w:rPr>
          <w:rFonts w:ascii="Arial" w:eastAsia="Arial" w:hAnsi="Arial" w:cs="Arial"/>
          <w:lang w:bidi="es-ES"/>
        </w:rPr>
        <w:t>provis</w:t>
      </w:r>
      <w:proofErr w:type="spellEnd"/>
      <w:r w:rsidRPr="00BB7641">
        <w:rPr>
          <w:rFonts w:ascii="Arial" w:eastAsia="Arial" w:hAnsi="Arial" w:cs="Arial"/>
          <w:lang w:bidi="es-ES"/>
        </w:rPr>
        <w:t xml:space="preserve"> 3 optimiza el consumo de energía de forma continua. pues una reducción de tan solo 1 bar supone hasta un 10 % en los costes energéticos.</w:t>
      </w:r>
    </w:p>
    <w:p w14:paraId="103AAD95" w14:textId="37744FBF" w:rsidR="00913759" w:rsidRPr="00011304" w:rsidRDefault="00A750BE" w:rsidP="00A750BE">
      <w:pPr>
        <w:pBdr>
          <w:bottom w:val="single" w:sz="6" w:space="1" w:color="auto"/>
        </w:pBdr>
        <w:spacing w:line="360" w:lineRule="auto"/>
        <w:rPr>
          <w:rFonts w:ascii="Arial" w:hAnsi="Arial" w:cs="Arial"/>
          <w:lang w:val="de-DE"/>
        </w:rPr>
      </w:pPr>
      <w:r w:rsidRPr="00BB7641">
        <w:rPr>
          <w:rFonts w:ascii="Arial" w:eastAsia="Arial" w:hAnsi="Arial" w:cs="Arial"/>
          <w:b/>
          <w:lang w:bidi="es-ES"/>
        </w:rPr>
        <w:t xml:space="preserve">Imagen 3: </w:t>
      </w:r>
      <w:r w:rsidRPr="00BB7641">
        <w:rPr>
          <w:rFonts w:ascii="Arial" w:eastAsia="Arial" w:hAnsi="Arial" w:cs="Arial"/>
          <w:lang w:bidi="es-ES"/>
        </w:rPr>
        <w:t xml:space="preserve">Hasta el 94 % de la energía utilizada para generar aire comprimido puede reutilizarse en forma de calor. </w:t>
      </w:r>
      <w:r w:rsidRPr="00011304">
        <w:rPr>
          <w:rFonts w:ascii="Arial" w:eastAsia="Arial" w:hAnsi="Arial" w:cs="Arial"/>
          <w:lang w:val="de-DE" w:bidi="es-ES"/>
        </w:rPr>
        <w:t>(Fuente de las imágenes: BOGE)</w:t>
      </w:r>
      <w:r w:rsidRPr="00011304">
        <w:rPr>
          <w:rFonts w:ascii="Arial" w:eastAsia="Arial" w:hAnsi="Arial" w:cs="Arial"/>
          <w:lang w:val="de-DE" w:bidi="es-ES"/>
        </w:rPr>
        <w:br/>
      </w:r>
      <w:r w:rsidRPr="00011304">
        <w:rPr>
          <w:rFonts w:ascii="Arial" w:eastAsia="Arial" w:hAnsi="Arial" w:cs="Arial"/>
          <w:lang w:val="de-DE" w:bidi="es-ES"/>
        </w:rPr>
        <w:br/>
      </w:r>
    </w:p>
    <w:p w14:paraId="6D4C8FA6" w14:textId="77777777" w:rsidR="00AC2C5F" w:rsidRPr="00011304" w:rsidRDefault="00AC2C5F" w:rsidP="00AC2C5F">
      <w:pPr>
        <w:spacing w:line="360" w:lineRule="auto"/>
        <w:rPr>
          <w:rFonts w:ascii="Arial" w:hAnsi="Arial" w:cs="Arial"/>
          <w:lang w:val="de-DE"/>
        </w:rPr>
      </w:pPr>
    </w:p>
    <w:p w14:paraId="2D2FD502" w14:textId="4E15F1A8" w:rsidR="00AC2C5F" w:rsidRPr="00011304" w:rsidRDefault="00AC2C5F" w:rsidP="00AC2C5F">
      <w:pPr>
        <w:spacing w:line="360" w:lineRule="auto"/>
        <w:jc w:val="both"/>
        <w:rPr>
          <w:rFonts w:ascii="Lucida Sans" w:hAnsi="Lucida Sans" w:cs="Arial"/>
          <w:sz w:val="28"/>
          <w:szCs w:val="28"/>
          <w:lang w:val="de-DE"/>
        </w:rPr>
      </w:pPr>
      <w:r w:rsidRPr="00011304">
        <w:rPr>
          <w:rFonts w:ascii="Lucida Sans" w:hAnsi="Lucida Sans" w:cs="Arial"/>
          <w:b/>
          <w:sz w:val="28"/>
          <w:szCs w:val="28"/>
          <w:lang w:val="de-DE"/>
        </w:rPr>
        <w:t>Über BOGE</w:t>
      </w:r>
    </w:p>
    <w:p w14:paraId="1F0B7164" w14:textId="57EF5F5D" w:rsidR="00AC2C5F" w:rsidRPr="00011304" w:rsidRDefault="000362E5" w:rsidP="00AC2C5F">
      <w:pPr>
        <w:spacing w:line="360" w:lineRule="auto"/>
        <w:jc w:val="both"/>
        <w:rPr>
          <w:rFonts w:ascii="Arial" w:hAnsi="Arial" w:cs="Arial"/>
          <w:bCs/>
          <w:lang w:val="de-DE"/>
        </w:rPr>
      </w:pPr>
      <w:r w:rsidRPr="00011304">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011304"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011304" w:rsidRDefault="000362E5">
      <w:pPr>
        <w:rPr>
          <w:rFonts w:ascii="Lucida Sans" w:hAnsi="Lucida Sans" w:cs="Arial"/>
          <w:b/>
          <w:sz w:val="28"/>
          <w:szCs w:val="28"/>
          <w:lang w:val="de-DE"/>
        </w:rPr>
      </w:pPr>
    </w:p>
    <w:p w14:paraId="0F55F03B" w14:textId="2DFE71ED" w:rsidR="00C3419C" w:rsidRPr="006076F1"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6076F1">
        <w:rPr>
          <w:rFonts w:ascii="Lucida Sans" w:eastAsia="Lucida Sans" w:hAnsi="Lucida Sans" w:cs="Arial"/>
          <w:b/>
          <w:sz w:val="28"/>
          <w:szCs w:val="28"/>
          <w:lang w:bidi="es-ES"/>
        </w:rPr>
        <w:t>Contacto de la empresa en BOGE</w:t>
      </w:r>
    </w:p>
    <w:p w14:paraId="099E15C0"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es-ES"/>
        </w:rPr>
        <w:t xml:space="preserve">Petra Hirsch </w:t>
      </w:r>
    </w:p>
    <w:p w14:paraId="10B51788"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es-ES"/>
        </w:rPr>
        <w:t>Consultora de marketing</w:t>
      </w:r>
    </w:p>
    <w:p w14:paraId="04A11492" w14:textId="77777777" w:rsid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es-ES"/>
        </w:rPr>
        <w:t>Teléfono: +49 5206 601-5841</w:t>
      </w:r>
    </w:p>
    <w:p w14:paraId="245C7C1F" w14:textId="60610246"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es-ES"/>
        </w:rPr>
        <w:lastRenderedPageBreak/>
        <w:t xml:space="preserve">Fax: +49 5206 601-200 </w:t>
      </w:r>
    </w:p>
    <w:p w14:paraId="0546C770" w14:textId="310B94E9"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es-ES"/>
        </w:rPr>
        <w:t>Correo electrónico: P.Hirsch@boge.de</w:t>
      </w:r>
    </w:p>
    <w:p w14:paraId="075DC4C5" w14:textId="77777777"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s-ES"/>
        </w:rPr>
        <w:t xml:space="preserve">Sandra Jürging </w:t>
      </w:r>
    </w:p>
    <w:p w14:paraId="7C08B259" w14:textId="77777777"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s-ES"/>
        </w:rPr>
        <w:t>Consultora de marketing</w:t>
      </w:r>
    </w:p>
    <w:p w14:paraId="74AEE8EE" w14:textId="77777777"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es-ES"/>
        </w:rPr>
        <w:t>Teléfono: +49 5206 601-5834</w:t>
      </w:r>
    </w:p>
    <w:p w14:paraId="752AE22D" w14:textId="77777777" w:rsidR="005A3891"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es-ES"/>
        </w:rPr>
        <w:t xml:space="preserve">Fax: +49 5206 601-200 </w:t>
      </w:r>
    </w:p>
    <w:p w14:paraId="2FC99E18" w14:textId="0933D1F6" w:rsidR="00C3419C" w:rsidRPr="000113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s-ES_tradnl"/>
        </w:rPr>
      </w:pPr>
      <w:r w:rsidRPr="000D3A00">
        <w:rPr>
          <w:rFonts w:ascii="Arial" w:eastAsia="Arial" w:hAnsi="Arial" w:cs="Arial"/>
          <w:lang w:bidi="es-ES"/>
        </w:rPr>
        <w:t>Correo electrónico: S.Juerging@boge.de</w:t>
      </w:r>
    </w:p>
    <w:p w14:paraId="64C2DC27" w14:textId="77777777" w:rsidR="00C3419C" w:rsidRPr="00011304"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es-ES_tradnl"/>
        </w:rPr>
      </w:pPr>
    </w:p>
    <w:p w14:paraId="2284B16A" w14:textId="5614BD06" w:rsidR="00C3419C" w:rsidRPr="006076F1" w:rsidRDefault="00C3419C" w:rsidP="005A3891">
      <w:pPr>
        <w:rPr>
          <w:rFonts w:ascii="Lucida Sans" w:hAnsi="Lucida Sans" w:cs="Arial"/>
          <w:b/>
          <w:sz w:val="28"/>
          <w:szCs w:val="28"/>
        </w:rPr>
      </w:pPr>
      <w:r w:rsidRPr="006076F1">
        <w:rPr>
          <w:rFonts w:ascii="Lucida Sans" w:eastAsia="Lucida Sans" w:hAnsi="Lucida Sans" w:cs="Arial"/>
          <w:b/>
          <w:sz w:val="28"/>
          <w:szCs w:val="28"/>
          <w:lang w:bidi="es-ES"/>
        </w:rPr>
        <w:t>Agencia para contacto de prensa</w:t>
      </w:r>
    </w:p>
    <w:p w14:paraId="50919664" w14:textId="51714D96"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s-ES"/>
        </w:rPr>
        <w:t xml:space="preserve">Lina Sophie Schmidt • </w:t>
      </w:r>
      <w:proofErr w:type="spellStart"/>
      <w:r w:rsidRPr="003F6898">
        <w:rPr>
          <w:rFonts w:ascii="Arial" w:eastAsia="Arial" w:hAnsi="Arial" w:cs="Arial"/>
          <w:lang w:bidi="es-ES"/>
        </w:rPr>
        <w:t>additiv</w:t>
      </w:r>
      <w:proofErr w:type="spellEnd"/>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s-ES"/>
        </w:rPr>
        <w:t xml:space="preserve">Una marca de </w:t>
      </w:r>
      <w:proofErr w:type="spellStart"/>
      <w:r w:rsidRPr="003F6898">
        <w:rPr>
          <w:rFonts w:ascii="Arial" w:eastAsia="Arial" w:hAnsi="Arial" w:cs="Arial"/>
          <w:lang w:bidi="es-ES"/>
        </w:rPr>
        <w:t>additiv</w:t>
      </w:r>
      <w:proofErr w:type="spellEnd"/>
      <w:r w:rsidRPr="003F6898">
        <w:rPr>
          <w:rFonts w:ascii="Arial" w:eastAsia="Arial" w:hAnsi="Arial" w:cs="Arial"/>
          <w:lang w:bidi="es-ES"/>
        </w:rPr>
        <w:t xml:space="preserve"> </w:t>
      </w:r>
      <w:proofErr w:type="spellStart"/>
      <w:r w:rsidRPr="003F6898">
        <w:rPr>
          <w:rFonts w:ascii="Arial" w:eastAsia="Arial" w:hAnsi="Arial" w:cs="Arial"/>
          <w:lang w:bidi="es-ES"/>
        </w:rPr>
        <w:t>pr</w:t>
      </w:r>
      <w:proofErr w:type="spellEnd"/>
      <w:r w:rsidRPr="003F6898">
        <w:rPr>
          <w:rFonts w:ascii="Arial" w:eastAsia="Arial" w:hAnsi="Arial" w:cs="Arial"/>
          <w:lang w:bidi="es-ES"/>
        </w:rPr>
        <w:t xml:space="preserve"> GmbH &amp; Co. KG</w:t>
      </w:r>
    </w:p>
    <w:p w14:paraId="40063004" w14:textId="77844B9D"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s-ES"/>
        </w:rPr>
        <w:t xml:space="preserve">Comunicación B2B para logística, robótica, industria y TI </w:t>
      </w:r>
    </w:p>
    <w:p w14:paraId="52AD9501" w14:textId="49DECAE5" w:rsidR="003F6898" w:rsidRPr="0001130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011304">
        <w:rPr>
          <w:rFonts w:ascii="Arial" w:eastAsia="Arial" w:hAnsi="Arial" w:cs="Arial"/>
          <w:lang w:val="it-IT" w:bidi="es-ES"/>
        </w:rPr>
        <w:t>Herzog-Adolf-Straße 3 • 56410 Montabaur • Alemania</w:t>
      </w:r>
    </w:p>
    <w:p w14:paraId="57573820" w14:textId="2AB7D8A1" w:rsidR="00C3419C" w:rsidRPr="0001130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011304">
        <w:rPr>
          <w:rFonts w:ascii="Arial" w:eastAsia="Arial" w:hAnsi="Arial" w:cs="Arial"/>
          <w:lang w:val="it-IT" w:bidi="es-ES"/>
        </w:rPr>
        <w:t>+49 2602 950 99 29 • ls@additiv.de • additiv.de</w:t>
      </w:r>
    </w:p>
    <w:p w14:paraId="1C72C737" w14:textId="77777777" w:rsidR="00AC2C5F" w:rsidRPr="00011304" w:rsidRDefault="00AC2C5F" w:rsidP="006D642A">
      <w:pPr>
        <w:spacing w:line="288" w:lineRule="auto"/>
        <w:jc w:val="both"/>
        <w:rPr>
          <w:rFonts w:ascii="Arial" w:hAnsi="Arial" w:cs="Arial"/>
          <w:lang w:val="it-IT"/>
        </w:rPr>
      </w:pPr>
    </w:p>
    <w:sectPr w:rsidR="00AC2C5F" w:rsidRPr="0001130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es-ES"/>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s-ES"/>
      </w:rPr>
      <w:t>COMUNICADO DE PRENSA</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es-ES"/>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s-ES"/>
      </w:rPr>
      <w:t>COMUNICADO DE PRENSA</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es-ES"/>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147F"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6299"/>
    <w:rsid w:val="00011304"/>
    <w:rsid w:val="000172A0"/>
    <w:rsid w:val="00017B28"/>
    <w:rsid w:val="00017FEE"/>
    <w:rsid w:val="00031176"/>
    <w:rsid w:val="000362E5"/>
    <w:rsid w:val="000507FA"/>
    <w:rsid w:val="00062477"/>
    <w:rsid w:val="00067A7E"/>
    <w:rsid w:val="000755B0"/>
    <w:rsid w:val="00075C02"/>
    <w:rsid w:val="00081A7A"/>
    <w:rsid w:val="00081B0F"/>
    <w:rsid w:val="00082633"/>
    <w:rsid w:val="000934B5"/>
    <w:rsid w:val="000A2D61"/>
    <w:rsid w:val="000A2F84"/>
    <w:rsid w:val="000A44E4"/>
    <w:rsid w:val="000B2435"/>
    <w:rsid w:val="000C6EE2"/>
    <w:rsid w:val="000D22D9"/>
    <w:rsid w:val="000D3A00"/>
    <w:rsid w:val="000E791B"/>
    <w:rsid w:val="000F2886"/>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246B"/>
    <w:rsid w:val="003C407F"/>
    <w:rsid w:val="003C6B6F"/>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44B5"/>
    <w:rsid w:val="00895DCA"/>
    <w:rsid w:val="008A1143"/>
    <w:rsid w:val="008A60CC"/>
    <w:rsid w:val="008A7132"/>
    <w:rsid w:val="008B0878"/>
    <w:rsid w:val="008B1EEE"/>
    <w:rsid w:val="008C6928"/>
    <w:rsid w:val="008C6EA0"/>
    <w:rsid w:val="008D3D69"/>
    <w:rsid w:val="009071DC"/>
    <w:rsid w:val="00911E59"/>
    <w:rsid w:val="00912EC2"/>
    <w:rsid w:val="00913759"/>
    <w:rsid w:val="00914064"/>
    <w:rsid w:val="009148A7"/>
    <w:rsid w:val="00921869"/>
    <w:rsid w:val="00930C31"/>
    <w:rsid w:val="00931312"/>
    <w:rsid w:val="00941A33"/>
    <w:rsid w:val="00943977"/>
    <w:rsid w:val="00955499"/>
    <w:rsid w:val="00957BF3"/>
    <w:rsid w:val="00972C02"/>
    <w:rsid w:val="00986B9E"/>
    <w:rsid w:val="00991BF7"/>
    <w:rsid w:val="009A6078"/>
    <w:rsid w:val="009A6FE3"/>
    <w:rsid w:val="009B4B73"/>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368D"/>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4E69"/>
    <w:rsid w:val="00CC50E8"/>
    <w:rsid w:val="00CD1FAA"/>
    <w:rsid w:val="00CD4321"/>
    <w:rsid w:val="00CD6779"/>
    <w:rsid w:val="00CE30EA"/>
    <w:rsid w:val="00CE3689"/>
    <w:rsid w:val="00CF0B3C"/>
    <w:rsid w:val="00CF6491"/>
    <w:rsid w:val="00CF7DDF"/>
    <w:rsid w:val="00D04512"/>
    <w:rsid w:val="00D12A7C"/>
    <w:rsid w:val="00D12ABF"/>
    <w:rsid w:val="00D15F90"/>
    <w:rsid w:val="00D379E0"/>
    <w:rsid w:val="00D432AA"/>
    <w:rsid w:val="00D43975"/>
    <w:rsid w:val="00D44561"/>
    <w:rsid w:val="00D44595"/>
    <w:rsid w:val="00D46844"/>
    <w:rsid w:val="00D610C8"/>
    <w:rsid w:val="00D645F8"/>
    <w:rsid w:val="00D73B1C"/>
    <w:rsid w:val="00D82C96"/>
    <w:rsid w:val="00D901D1"/>
    <w:rsid w:val="00D923AB"/>
    <w:rsid w:val="00DD0CE0"/>
    <w:rsid w:val="00DD10B1"/>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8731F"/>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paragraph" w:styleId="BalloonText">
    <w:name w:val="Balloon Text"/>
    <w:basedOn w:val="Normal"/>
    <w:link w:val="BalloonTextChar"/>
    <w:uiPriority w:val="99"/>
    <w:semiHidden/>
    <w:unhideWhenUsed/>
    <w:rsid w:val="006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MARINELLI, Martina</cp:lastModifiedBy>
  <cp:revision>3</cp:revision>
  <cp:lastPrinted>2024-10-07T06:00:00Z</cp:lastPrinted>
  <dcterms:created xsi:type="dcterms:W3CDTF">2024-11-25T14:26:00Z</dcterms:created>
  <dcterms:modified xsi:type="dcterms:W3CDTF">2024-11-25T14:28:00Z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